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«ВИНС» (далее – Общество) о взыскании 1 706 740 рублей 68 копеек действительной стоимости доли в уставном капитале ответчика и 149 164 рублей 45 копеек процентов за пользование чужими денежными средствами. К участию в деле в качестве третьих лиц, не заявляющих самостоятельные требования относительно предмета спора, привлечены ФИО2, ФИО3, ФИО4 и ФИО5. Решением Арбитражного суда Приморского края от 27.05.2019, оставленным без изменения постановлением Пятого арбитражного апелляционного суда от 13.09.2019 и постановлением Арбитражного суда Дальневосточного округа от 16.01.2020,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заключение эксперта не может являться надлежащим доказательством стоимости чистых активов с учетом рыночной стоимости недвижимого имущества. Общество также указывает на нарушение судом округа принципа состязательности процесса ввиду отказа в удовлетворении ходатайств об участии в судебном заседании путем использования систем видеоконференц-связи и об отложении судебного заседания.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20.12.2017 истец обратился в адрес Общества с заявлением о выходе из состава его участников и выплате действительной стоимости доли. Невыплата действительной стоимости доли послужила основанием для обращения ФИО1 в арбитражный суд с соответствующими требованиями.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правомерно удовлетворили требования, констатировав, что у Общества в связи с выходом ФИО1 из его состава возникла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ходатайство о проведении заседания по делу путем использования систем видеоконференц-связи подлежит отклонению.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«ВИНС» о проведении заседания по делу путем использования систем видеоконференц-связи отказать. Отказать в передаче кассационной жалобы общества с ограниченной ответственностью «ВИНС»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"Винс" (подробнее) Иные лица: ООО "Центр Экспертиз "Регион Приморье" (подробнее) Управление по вопросам миграции УМВД РФ по ПК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