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иском к ФИО2 о расторжении договора уступки доли в уставном капитале общества с ограниченной ответственностью «Унион Девелопмент» (далее – Общество) и возврате денежных средств. Определением Арбитражного суда города Москвы от 13.04.2017 судом отказано в принятии к производству искового заявления ФИО1 Постановлением Девятого арбитражного апелляционного суда от 20.06.2017 определение от 13.04.2017 отменено, вопрос о принятии искового заявления направлен на новое рассмотрение в Арбитражный суд города Москвы. Определением Арбитражного суда г. Москвы от 30.10.2017 производство по настоящему делу прекращено. Постановлением Девятого арбитражного апелляционного суда от 25.12.2017 определение отменено, вопрос направлен на новое рассмотрение в Арбитражный суд города Москвы. К участию в деле в качестве третьего лица, не заявляющего самостоятельных требований относительно предмета спора, привлечено Union Development slr. Решением Арбитражного суда города Москвы от 27.12.2018 иск удовлетворен. Определением от 20.02.2019 Девятый арбитражный апелляционный суд в соответствии части 6.1 статьи 268 Арбитражного процессуального кодекса Российской Федерации (далее – АПК РФ) перешел к рассмотрению дела по правилам суда первой инстанции, поскольку ответчик не был надлежащим образом извещен о месте и времени судебного разбирательства. Постановлением Девятого арбитражного апелляционного суда от 30.10.2019, оставленным без изменения постановлением Арбитражного суда Московского округа от 28.01.2020, решение от 27.12.2018 отменено, в удовлетворении требований отказано. В кассационной жалобе, поданной в Верховный Суд Российской Федерации, заявитель просит отменить постановления апелляционного, окружного судов, направив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 на неправильное толкование судом апелляционной инстанции статьи 137 Арбитражного процессуального кодекса Российской Федерации (далее – АПК РФ). По мнению истца, отмена решения и переход к рассмотрению дела по правилам первой инстанции поставили ответчика в преимущественное положение и позволили указать на пропуск срока исковой давности, чего ранее не заявлялось.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Федерации. Как следует из обжалуемых актов, в феврале 2012 года между ФИО1 (покупатель) и ФИО2 (продавец) был заключен договор передачи доли в уставном капитале Общества номинальной стоимостью 60 000 евро, согласно которому участник (ответчик) передает, а приобретатель (истец) принимает долю в уставном капитале в размере 9% номинальной стоимостью 900 евро. Стоимость доли определена сторонами в размере 60 000 евро. Пунктом 4 договора установлено, что доля считается переданной приобретателю с момента подписания договора при условии ее полной оплаты; с момента получения участником денежных средств за передаваемую долю приобретатель получает права и обязанности участника Общества. В обоснование требований истец указал, что ответчиком не были исполнены обязательства по передаче доли согласно условиям договора, тогда как ему перечислены денежные средства в счет ее оплаты, что подтверждается выпиской из лицевого счета за период 29.02.2012-29.12.2012,справкой из банка АО «СМП Банк» от 11.11.2016 № 39-02-14\556. Суд первой инстанции, руководствуясь пунктом 2 статьи 450 , пунктом 2 статьи 452 , пунктом 4 статьи 453 Гражданского кодекса Российской Федерации, установив, что ФИО2 не исполнены обязательства по передачи доли в соответствии с условиями договора от февраля 2012 года, удовлетворил заявленные требования. Повторно исследовав и оценив по правилам статьи 71 АПК РФ представленные доказательства, руководствуясь статьями 195 , 196 , 199 Гражданского кодекса Российской Федерации и разъяснениями, изложенными в пункте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 апелляционной инстанции, с выводами которого согласился суд округа, отменил решение суда первой инстанции, отказал в удовлетворении требований в связи с истечением срока исковой давности по заявленным требованиям, о чем было заявлено ответчиком, поскольку в период с 2012 года по 2015 год покупателем (истцом) никаких действий по истребованию доли не предпринималось, с иском он обратился лишь 06.04.2017.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L"Ufficio unico ufficiali giudiziari presso la corrte d"appello di Roma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