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Республики Татарстан от 06.05.2019, оставленным без изменения постановлением Одиннадцатого арбитражного апелляционного суда от 03.09.2019 и постановлением Арбитражного суда Поволжского округа от 15.01.2020, первоначальный иск удовлетворен частично, с общества в пользу компании взыскано 744 720 руб. 07 коп. долга, 15 552 руб. 15 коп. расходов по уплате государственной пошлины; встречные требования удовлетворены частично, с компании в пользу общества взыскано 34 357 руб. 20 коп. убытков, 300 000 руб. неустойки, 12 335 руб. 89 коп. расходов по уплате государственной пошлины, 52 753 руб. 85 коп. расходов на судебную экспертизу; в результате зачета удовлетворенных требований с общества в пользу компании взыскано 367 696 руб. 72 коп.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встречных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заявителя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условия договоров подряда от 05.04.2016 № 001/16, № 002/16, заключение судебной экспертизы, руководствуясь статьями 330 , 450.1 , 453 , 708 , 711 , 715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что спорные договоры расторгнуты вследствие правомерного отказа общества (заказчика) от их исполнения, вместе с тем стоимость выполненных компанией (подрядчиком) работ превышает размер перечисленных ей обществом денежных средств, суды первой и апелляционной инстанций пришли к выводу об отсутствии на стороне подрядчика неосновательного обогащения. Исходя из подтвержденности факта нарушения компанией срока выполнения работ, проверив представленный обществом расчет неустойки, скорректировав период ее начисления и применив положения статьи 333 Гражданского кодекса Российской Федерации, суды удовлетворили соответствующее требование частично. С указанными выводами впоследствии согласился суд округа. Доводы кассационной жалобы не опровергают выводы судов, направлены на переоценку установленных судами обстоятельств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«Передвижная Механизированная Колонна № 159»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"ПМК №159" (подробнее) ООО "ЭльАйрСтрой", г.Арск (подробнее) Ответчики: ООО "Передвижная Механизированная Колонна №159", п.г.т. Богатые Сабы, Сабинский район (подробнее) Иные лица: Одиннадцатый арбитражный апелляционный суд, г.Самара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