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24.07.2019, оставленным без изменения постановлением Семнадцатого арбитражного апелляционного суда от 31.10.2019 и постановлением Арбитражного суда Уральского округа от 06.02.2020, в удовлетворении первоначального и встречного исков отказано. В кассационной жалобе, поданной в Верховный Суд Российской Федерации, корпорация, ссылаясь на нарушение судами норм процессуального права, просит отменить указанные судебные акты в части отказа в удовлетворении первоначального иска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обжалуемых судебных актов, корпорация, обращаясь в арбитражный суд с первоначальным иском по настоящему делу, сослалась на то, что на стороне предприятия «ИнЭкспо» возникло неосновательное обогащение в виде денежных средств, перечисленных истцом в пользу общества в счет оплаты по инвестиционному договору от 01.10.2008 № 010 за предприятие «Уралзарубежсервис» (правопредшественника предприятия «ИнЭкспо») на основании его распорядительного письма; соглашением от 28.05.2009 об отсрочке исполнения денежного обязательства, заключенным между корпорацией и предприятием «Уралзарубежсервис», подтверждено, что последнее имеет неисполненное денежное обязательство перед истцом, а также согласовано предоставление ему отсрочки исполнения обязательства на срок до 31.12.2014.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заключения судебных экспертиз, суды первой и апелляционной инстанций установили факт фальсификации распорядительного письма, соглашения об отсрочке исполнения денежного обязательства и исключили их из состава доказательств по делу. Исходя из того, что корпорация о нарушении своих прав узнала весной 2009 года, но до декабря 2017 не заявляла требований о возврате спорных денежных средств, руководствуясь статьями 195 , 196 , 199 Гражданского кодекса Российской Федерации, разъяснениями, приведенными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суды пришли к выводу о пропуске истцом срока исковой давности, о применении которой заявлено ответчиком, и отказали в удовлетворении иска. Довод кассационной жалобы о необоснованном отказе суда апелляционной инстанции в приобщении к материалам дела дополнительных доказательств подлежит отклонению, поскольку такие доказательства предоставляются с соблюдением требований, установленных частью 2 статьи 268 Арбитражного процессуального кодекса Российской Федерации. Иные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«Корпорация «Маяк»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Министерство по управлению государственным имуществом Свердловской области (подробнее) ООО "Корпорация Маяк" (подробнее) Ответчики: ГУП Свердловской области "Государственный региональный выставочный центр "ИнЭкспо" (подробнее) ООО "Корпорация "Маяк"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