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03.09.2019, оставленным без изменения постановлением Пятого арбитражного апелляционного суда от 09.12.2019, первоначальные исковые требования удовлетворены, в удовлетворении встречного иска отказано. Постановлением Арбитражного суда Дальневосточного округа от 13.02.2020 указанные судебные акты оставлены без изменения. В кассационной жалобе, поступившей в Верховный Суд Российской Федерации, учреждение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первоначальные требования, признав факт исполнения обществом как подрядчиком обязательств по контракту и передачи результата работ доказанным; в удовлетворении встречного требования отказано, поскольку основания для расторжения контракта при установленных обстоятельствах отсутствуют.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"ГлавРосСтрой" (подробнее) Ответчики: ОКУ "Дирекция по строительству"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