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Московской области от 28.02.2019 Берн А.С.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Московской области от 22.08.2019, оставленным без изменения постановлениями Десятого арбитражного апелляционного суда от 25.11.2019 и Арбитражного суда Московского округа от 06.02.2020, процедура реализации имущества должника завершена, Берн А.С. не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В кассационной жалобе, поданной в Верховный Суд Российской Федерации, заявитель просит отменить указанные судебные акты в части отказа в применении правил об освобождении должника от исполнения обязательств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суды руководствовались положениями пунктов 3 и 4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недобросовестного поведения, а также неправомерных действий заявителя, выразившихся в принятии на себя заведомо неисполнимых обязательств аффилированного с ним лица без намерений их выполнения.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Берну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