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22.08.2019, оставленным без изменения постановлениями Двадцатого арбитражного апелляционного суда от 04.12.2019 и Арбитражного суда Центрального округа от 20.02.2020, исковые требования общества удовлетворены частично, с министерства в пользу общества взыскано 3 800 000 рублей основного долга, 27 170 рублей пени за нарушение срока оплаты второго этапа работ за период с 14.10.2017 по 08.11.2017, 255 296 рублей 67 копеек пени за нарушение срока оплаты третьего этапа работ за период с 15.02.2018 по 19.11.2018 и пени за период с 20.11.2018 по день фактического исполнения обязательства в размере 1/300 действующей на дату уплаты пени ставки рефинансирования ЦБ РФ от не перечисленной в срок суммы основного долга за каждый день просрочки, 43 390 рублей 95 копеек расходов по уплате государственной пошлины; в удовлетворении остальной части первоначальных требований отказано. Встречные исковые требования удовлетворены частично, с общества в пользу министерства взыскано 556 605 рублей пени за нарушение срока выполнения работ по третьему этапу за период с 01.12.2017 по 31.01.2018; в удовлетворении остальной части встречных требований отказано. В результате произведенного зачета с министерства в пользу общества взыскано 3 569 252 рубля 62 копейки денежных средств, с общества в доход федерального бюджета взыскана государственная пошлина в размере 14 134 рублей. В кассационной жалобе, поданной в Верховный Суд Российской Федерации, министерство ставит вопрос об отмене принятых по делу судебных актов в части отказа в удовлетворении встречных исковых требований,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Оценив представленные в материалы дела доказательства, суды, руководствуясь положениями статей 309 , 314 , 330 , 702 , 711 , 753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разъяснениями, изложенными в пункте 8 информационного письма Президиума Высшего Арбитражного Суда Российской Федерации от 24.01.2000 № 51 «Обзор практики разрешения споров по договору строительного подряда», пришли к выводу о наличии оснований для частичного удовлетворения исковых требований общества и министерства. При этом судебные инстанции, частично удовлетворяя встречные исковые требования, исходили из наличия просрочки выполнения обществом (подрядчик) третьего этапа работ, скорректировали период начисления пени и руководствовались ставкой рефинансирования ЦБ РФ, действовавшей на момент исполнения подрядчиком обязательства (31.01.2018). Суды, принимая во внимание отсутствие в государственном контракте условий о порядке предоставления (направления) подрядчиком заказчику документов для приемки выполненных работ, фактическое наличие у ответчика соответствующих документов, направленных третьему лицу сразу после получения от истца, отсутствие сведений о совершенных ответчиком действий, направленных на приемку выполненных работ, установили, что обязательство общества по выполнению III этапа работ исполнено 31.01.2018. Обстоятельства данного спора и представленные доказательства были предметом рассмотрения и оценки судов. Доводы, изложенные в кассационной жалобе, сводятся к повторению позиции министерства о несогласии с определением периода расчета пени за нарушение срока выполнения работ по III этапу, являлись предметом рассмотрения судов и получили надлежащую правовую оценку с учетом условий государственного контракта и положений гражданского законодательства. Приведенные в жалобе доводы не свидетельствуют о существенных нарушениях судами норм материального и процессуального права, повлиявших на исход дела, выражают несогласие с выводами судов по фактическим обстоятельствам спора и основаны на ошибочном толковании применительно к ним положений законодательства, в связи с чем не могут служить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природных ресурсов и экологии Калужской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М.К.Антонова Суд: Верховный Суд РФ (подробнее) Истцы: ООО Авиа-ФС (подробнее) Ответчики: Министерство природных ресурсов и экологии Калужской области (подробнее) Судьи дела: Антонова М.К.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