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19.07.2019, оставленным без изменения постановлениями Тринадцатого арбитражного апелляционного суда от 30.09.2019 и Арбитражного суда Северо-Западного округа от 29.01.2020, в удовлетворении заявленного требования отказано. В жалобе ООО «Перспектива»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27-02-А/18, возбужденного на основании поручения Федеральной антимонопольной службы, антимонопольным органом принято оспариваемое решение, которым в действиях ООО «Перспектива», ООО «КШП» и предпринимателя признано нарушение пункта 2 части 1 статьи 11 Федерального закона от 26.07.2006 № 135-ФЗ «О защите конкуренции» (далее - Закон о защите конкуренции), выразившееся в заключении и участии в соглашении, которое привело к поддержанию цен на аукционах, проводившихся в электронной форме. Отказывая в удовлетворении заявления,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4, пункта 2 части 1 статьи 11 Закона о защите конкуренции, пришли к выводу о соответствии ненормативного акта управления действующему законодательству. Судебные инстанции исходили из доказанности факта достижения ООО «Перспектива» в группе лиц с ООО «КШП» и предпринимателем антиконкурентного соглашения, целью которого являлось обеспечение победы одного из участников картеля по наиболее выгодной для него цене, что привело к искусственному поддержанию цены на торгах. При этом суды установили, что указанные лица применяли стратегию ценовой дезориентации добросовестных участников торгов; использовали одинаковую электронную почту; подавали заявки на участие в аукционах и ценовые предложения с использованием единой технической инфраструктуры; идентичность первых частей заявок; деловые и родственные связи между участниками. Управлением было выявлено, что решение об участии в аукционах ООО «Перспектива», ООО «КШП» и предпринимателя ФИО1 принимал ФИО2 (директор и учредитель указанных обществ), а заявки на участие от лица данных субъектов и подачу ценовых предложений осуществлял ФИО1 С учетом установленных обстоятельств, суды правомерно поддержали вывод антимонопольного органа о наличии антиконкурентного соглашения (картеля) между названными участниками закупки. Доводы, изложенные в кассационной жалобе, являлись предметом рассмотрения судов и получили надлежащую правовую оценку, по существу, направлены на несогласие с выводами судов и переоценку установленных фактических обстоятельств по делу, что не входит в полномочия суда при кассационном производстве. Возражения ООО «Перспектива» не подтверждают наличие существенных нарушений норм материального права и (или) норм процессуального права, повлиявших на исход дела,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"Перспектива" (подробнее) Ответчики: Управление Федеральной антимонопольной службы по Ленинградской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