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«Статус» (поставщик) обратилось в Арбитражный суд города Москвы с иском о взыскании с общества с ограниченной ответственностью «Велесстрой» (покупателя) 101 081,98 евро задолженности по оплате товара по договору поставки 08.12.2016 № ДКС/УЗ/000\2016-483 и 218 003,34 евро неустойки за просрочку оплаты долга, с начислением неустойки по дату оплаты задолженности. ООО «Велесстрой» на основании договора цессии обратилось с встречным иском о взыскании с ООО «Статус» 6 168 255 рублей 04 копеек задолженности и 358 519 рублей 26 копеек процентов за пользование чужими денежными средствами по обязательству, возникшему из договора поставки от 17.07.2017 № 17072017СТ. Решением Арбитражного суда города Москвы от 22.04.2019 первоначальный иск удовлетворен в части; встречный иск удовлетворен в полном объеме; в результате зачета с ООО «Велесстрой» в пользу ООО «Статус» взыскано в рублях по курсу Центрального банка РФ на дату оплаты 16 496 евро задолженности и 284 834,72 евро неустойки, с начислением неустойки по дату фактической оплаты долга. Постановлением Девятого арбитражного апелляционного суда от 16.09.2019 решение суда первой инстанции изменено в части размера взысканной с ООО «Велесстрой» неустойки и указан ее размер – 36 086 евро 27 центов; в остальной части решение суда первой инстанции оставлено без изменения. Арбитражный суд Московского округа постановлением от 22.01.2020 постановление суда апелляционной инстанции оставил без изменения. Общество с ограниченной ответственностью «Статус» обратился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Изменяя решение суда первой инстанции, суд апелляционной инстанции исходил из того, что наличие и размер основных обязательств, заявленных в первоначальном и встречном исках, установлены и сторонами не оспариваются; отсутствуют основания для начисления неустойки после 25.10.2018 на всю сумму долга без учета частичного прекращения обязательств и имеются основания для применения положений статьи 333 Гражданского кодекса Российской Федерации и снижения размера подлежащей взысканию неустойки ввиду явной несоразмерности последствиям нарушения обязательства.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«Статус»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"Статус" (подробнее) Ответчики: ООО "ВелесСтрой" (подробнее) Судьи дела: Зарубина Е.Н.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