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«Жилстройпроект» удовлетворить. Срок подачи кассационной жалобы на определение Арбитражного суда Ростовской области от 30.10.2019 по делу № А53-12939/2018, постановление Пятнадцатого арбитражного апелляционного суда от 04.12.2019 и постановление Арбитражного суда Северо-Кавказского округа от 06.02.2020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