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Адыгеи от 28.05.2019, оставленным без изменения постановлением Пятнадцатого арбитражного апелляционного суда от 06.09.2019, взыскано 850 000 рублей убытков и 42 994 рублей 86 копеек процентов за пользование чужими денежными средствами. Арбитражный суд Северо-Кавказского округа постановлением от 17.01.2020 решение от 28.05.2019 и постановление Пятнадцатого арбитражного апелляционного суда от 06.09.2019 оставил без изменения. В кассационной жалобе банк просит об отмене судебных актов, ссылаясь на отсутствие в его действиях состава гражданского правонарушения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проведение платежа в отсутствие подтверждения клиента (истца) при признанной банком в спорном случае необходимости такового, что создало основание для применения правила статьи 404 Гражданского кодекса Российской Федерации при определении степени вины сторон в образовавшихся убытках. Обстоятельства, составляющие условия для взыскания убытков, установлены судами и не подлежат пересмотру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"Майкопагропромэнерго" (подробнее) Ответчики: АО Россельхозбанк (подробнее) ОАО Адыгейский региональный филиал "Россельхозбанк"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