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на основании договора уступки права требования от 24.04.2018 обратился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«Прогресс Стиль» 1 250 000 рублей неосновательного обогащения и 135 762 рублей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«Хорс», муниципальное бюджетное учреждение дополнительного образования «Детская школа искусств № 3 г. Владивостока». Решением Арбитражного суда Приморского края от 27.08.2019 в удовлетворении иска отказано. Постановлением Пятого арбитражного апелляционного суда от 04.12.2019 решение суда первой инстанции оставлено без изменения. Арбитражный суд Дальневосточного округа постановлением от 18.02.2020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 1105 Гражданского кодекса Российской Федерации, суды пришли к выводу о выполнении ответчиком обязательств по поставке изделий и о недоказанности возникновения на стороне ответчика неосновательного обогащения.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Сидоренко Максим Львович (подробнее) Ответчики: ООО "ПРОГРЕСС СТИЛЬ" (подробнее) Иные лица: Инспекция Федеральной налоговой службы по Фрунзенскому району г. Владивостока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