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общества с ограниченной ответственностью «ТК-ПРЕСС», «Красная горка» и Гаврилов С.Д. обратились в суд с заявлениями, объединёнными в одно производство для совместного рассмотрения, о включении в реестр требований кредиторов должника их требований в размерах 2 986 626 рублей 71 копейка, 4 672 788 рублей 32 копейки и 13 647 814 рублей 66 копеек, соответственно. Определением Арбитражного суда Новосибирской области от 17.05.2019, оставленным без изменения постановлениями Седьмого арбитражного апелляционного суда от 30.08.2019 и Арбитражного суда Западно-Сибирского округа от 27.01.2020, заявления оставлены без удовлетворения. В кассационной жалобе, поданной в Верховный Суд Российской Федерации, заявитель просит полностью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не усмотрели законных оснований для включения требований аффилированных с должником лиц, не раскрывших экономическое обоснование предоставления займов, в реестр требований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Гаврилову Сергею Давидовичу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