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20.08.2019, оставленным без изменения постановлением Девятого арбитражного апелляционного суда от 22.10.2019 и постановлением Арбитражного суда Московского округа от 10.02.2020, в удовлетворении иска общества отказано, встречное исковое заявление учреждения удовлетворено. В кассационной жалобе, поданной в Верховный Суд Российской Федерации, общество, ссылаясь на существенное нарушение норм права, просить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(исполнитель) заключен энергосервисный договор на выполнение мероприятий, направленных на энергосбережение и повышение энергетической эффективности использования электрической энергии системы освещения мест общего пользования многоквартирных жилых домов, находящихся в управлении учреждения. Между сторонами 01.11.2018 заключено дополнительное соглашение к договору № 2, которым утвержден календарный план выполнения работ, срок выполнения работ составляет 95 (девяносто пять) календарных дней. В соответствии с измененным календарным планом выполнение работ осуществляется поэтапно, переход к следующим этапам производится обществом после выполнения обязанностей сторон предыдущего этапа. Обращаясь с иском в суд, общество ссылалось на невыполнение учреждением условий договора и календарного плана, незаконное ограничение доступа в электрощитовые и технические помещения многоквартирных домов и выполнение им работ в срок, установленный календарным планом. Встречное заявление учреждения мотивировано нарушением обществом существенных условий договора, а именно сроков по реализации энергосберегающих мероприятий в отсутствие обстоятельств непреодолимой силы, препятствующих своевременному выполнению работ. Оценив представленные в материалы дела доказательства, суды, руководствуясь положениями статей 15 , 166 , 173.1 , 309 , 310 , 393 , 432 , 450 , 450.1 , 708 , 718 , 719 Гражданского кодекса Российской Федерации, Федеральным законом от 18.07.2011 № 223-ФЗ «О закупках товаров, работ, услуг отдельными видами юридических лиц», пришли к выводу об отсутствии оснований для удовлетворения первоначального иска в связи с невыполнением обществом работ в установленный контрактом срок, необоснованным односторонним отказом от договора и недоказанностью несения убытков. Рассматривая встречное исковое заявление, судебные инстанции, учитывая пункт 6.4 договора, предусматривающий запрет на заключение дополнительного соглашения с целью продления сроков выполнения работ, принимая во внимание правовую позицию, изложенную в пункте 16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Президиумом Верховного Суда Российской Федерации 16.05.2018, пришли к выводу о правомерности требования учреждения о признании недействительным дополнительного соглашения об увеличении сроков выполнения работ. Суды отметили, что изменение договора, влияющее на его условия по сравнению с условиями документации о закупке, имевшими существенное значение для формирования заявок, определения победителя и цены договора, не допускается. При этом допущенные исполнителем нарушения сроков выполнения работ повлекли причинение заказчику ущерба, выразившегося в неполучении экономии потребления электрической энергии на освещение мест общего пользования, на которое учреждение вправе было рассчитывать при заключении договора. Кроме того, ввиду существенного нарушения обществом условий договора, суды признали требование о расторжении энергосервисного договора подлежащим удовлетворению. Доводы, изложенные в кассационной жалобе, повторяют позицию общества по спору, были предметом рассмотрения судов и не опровергают их выводы, послужившие основанием для принятия судебных актов. Приведенные доводы не подтверждают существенных нарушений норм материального и процессуального права, повлиявших на исход дела, по существу, направлены на переоценку представленных в материалы дела доказательств и установление иных фактических обстоятельств,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«МОСКОМСТРОЙ»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Истцы: ООО "МосКомСтрой" (подробнее) Ответчики: ГОСУДАРСТВЕННОЕ БЮДЖЕТНОЕ УЧРЕЖДЕНИЕ ГОРОДА МОСКВЫ "ЖИЛИЩНИК РАЙОНА СИЛИНО" (подробнее) Судьи дела: Антонова М.К. (судья) (подробнее)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