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29.04.2019 требование учреждения о взыскании 81 500 рублей по контракту от 12.12.2015 оставлено без рассмотрения, с общества в пользу учреждения взыскано 630 360 рублей неосновательного обогащения по контрактам от 30.10.2015 и от 21.12.2015. Постановлением Тринадцатого арбитражного апелляционного суда от 15.10.2019 решение суда первой инстанции изменено, требование учреждения о взыскании 81 500 рублей по контракту от 12.12.2015 оставлено без рассмотрения, с общества в пользу учреждения взыскано 96 001 рубль 80 копеек неосновательного обогащения. В удовлетворении остальной части иска отказано. Постановлением Арбитражного суда Северо-Западного округа от 06.02.2020 постановление суда апелляционной инстанции отменено, решение Арбитражного суда города Санкт-Петербурга и Ленинградской области от 29.04.2019 оставлено в силе. В кассационной жалобе, поданной в Верховный Суд Российской Федерации, общество просит отменить решение суда первой инстанции и постановление суда округа в части удовлетворения исковых требований о взыскании неосновательного обогащения в размере 534 358 рублей 20 копеек,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 первой инстанции, руководствуясь положениями статей 702 , 709 , 710 , 763 , 1102 , 1103 Гражданского кодекса Российской Федерации, подпункта «б» пункта 1 части 1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пришел к выводу о том, что на стороне общества возникло неосновательное обогащение в размере 630 360 рублей. Суд первой инстанции исходил из того, что общество работы по контрактам от 30.10.2015 и от 21.12.2015 выполнило с отступлением от требований контрактов, допустило замену строительных материалов и оборудования, работы в полном объеме и качественно не выполнило. Суд кассационной инстанции поддержал данные выводы суда первой инстанции. При этом суд округа, отменяя постановление суда апелляционной инстанции, указал, что судом не учтены положения пункта 9.5 контрактов и дана неправильная оценка доводам учреждения о том, что частичное невыполнение обществом работ по контрактам от 30.10.2015 и 21.12.2015 привело к тому, что указанный в них результат работ заказчиком не получен. Обстоятельства данного спора и представленные доказательства были предметом рассмотрения и оценки судов. Несогласие общества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«Сантехстройсервис»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"УПРАВЛЕНИЕ КАПИТАЛЬНОГО СТРОИТЕЛЬСТВА" КИРОВСКОГО МУНИЦИПАЛЬНОГО РАЙОНА ЛЕНИНГРАДСКОЙ ОБЛАСТИ (подробнее) Ответчики: ООО "СантехСтройСервис" (подробнее) Судьи дела: Антонова М.К.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