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29.08.2019, оставленным без изменения постановлением Восемнадцатого арбитражного апелляционного суда от 21.10.2019, в удовлетворении требований отказано. Постановлением Арбитражного суда Уральского округа от 30.01.2020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обществом автобуса для осуществления регулярных перевозок пассажиров при отсутствии карты маршрута.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 и установив, что общество осуществляло перевозку, не имея оригинала карты маршрута регулярных перевозок,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При этом суды исходили из того, карты маршрутов выдаются в соответствии с максимальным количеством транспортных средств, необходимых для исполнения соответствующего контракта, в связи с чем, каждое транспортное средство, осуществляющее перевозки по маршруту, должно иметь карту маршрута и не зависеть от иных транспортных средств. Процедура и срок давности привлечения к административной ответственности соблюдены, административное наказание в виде штрафа назначено в минимальном размере санкции нормы.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"Автобан" (подробнее) Ответчики: Уральское межрегиональное управление государственного автодорожного надзора Федеральной службы по надзору в сфере транспорта в лице Территориального отдела государственного автодорожного надзора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