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16.07.2019, оставленным без изменения постановлением Седьмого арбитражного апелляционного суда от 23.09.2019, оспариваемое постановление изменено в части назначенного административного наказания, размер административного штрафа снижен до 100 000 рублей. Постановлением Арбитражного суда Западно-Сибирского округа от 23.01.2020 указанные судебные акты оставлены без изменения. Общество в кассационной жалобе просит названные судебные акты отменить, считая их принятыми с существенными нарушениями норм материального и процессуального права. При рассмотрении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нарушении лицензионных требований при эксплуатации опасного производственного объекта (зона приемно-сливной эстакады для мазута не имеет твердого бетонного покрытия, оборудованного устройствами отвода в дренажную систему загрязненных нефтепродуктами атмосферных осадков, а также для смыва пролитых нефтепродуктов). Частью 1 статьи 9.1 Кодекса Российской Федерации об административных правонарушениях предусмотрена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Федерального закона от 21.07.1997 № 99-ФЗ «О лицензировании отдельных видов деятельности», Положения о лицензировании эксплуатации взрывопожароопасных и химически опасных производственных объектов I, II и III классов опасности, утвержденного постановлением Правительства Российской Федерации от 10.06.2013 № 492, Федеральных норм и правил в области промышленной безопасности «Правила промышленной безопасности складов нефти и нефтепродуктов», утвержденных приказом Федеральной службы по экологическому, технологическому и атомному надзору от 07.11.2016 № 461, суды пришли к выводу о наличии в действиях общества состава правонарушения, ответственность за совершение которого предусмотрена частью 1 статьи 9.1 Кодекса Российской Федерации об административных правонарушениях.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судами не установлено. Штраф снижен ниже низшего размера санкции нормы. Доводы жалобы были предметом исследования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"Барнаульская генерация" (подробнее) Ответчики: Сибирское Управление ФС по экологическому, технологическому и атомному надзору (Ростехнадзор)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