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13.08.2019, оставленным без изменения постановлением Одиннадцатого арбитражного апелляционного суда от 14.11.2019 и постановлением Арбитражного суда Поволжского округа от 13.02.2020, исковое требование удовлетворено. В кассационных жалобах, поданных в Верховный Суд Российской Федерации, министерство и учреждение, ссылаясь на существенное нарушение норм права, просят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установлено судами, между обществом (генподрядчик) и учреждением (заказчик) по результатам конкурсных процедур заключены государственные контракты от 25.09.2018 № 463 и от 24.10.2018 № 497 на выполнение строительно-монтажных работ на объекте «Благоустройство и озеленение территории, прилегающей к стадиону, г.о. Самара, в границах Московского шоссе, Ракитовского шоссе, Волжского шоссе, ул. Ташкентской, ул. Демократической». В рамках исполнения контрактов общество выполнило и сдало учреждению выполненные работы, в том числе, по устройству покрытий на объекте (асфальтовое и плиточное покрытие), замечаний к качеству выполненных работ учреждением не предъявлено. В весенний период 2018 года из-за воздействия грунтовых вод на грунты основания и конструктивные слои дорожных одежд на объекте произошла деформация (разрушение) уложенного асфальтового и плиточного покрытия, а также значительное обводнение грунтов, о чем общество уведомило заказчика. В связи с указанными обстоятельствами сторонами 03.05.2018 с участием проектировщика (предприятия) проведено освидетельствование повреждений на объекте и даны поручения учреждению, обществу и предприятию. Помимо этого, на заседании оперативного штаба Самарской области по вопросам подготовки и проведения на территории Самарской области чемпионата мира по футболу в 2018 году, руководителю общества дано указание незамедлительно приступить к выполнению мероприятий по отводу грунтовых вод, водопонижению, устранению мест проседания грунта и восстановлению повреждений асфальтового, плиточного покрытия и зон благоустройства, а Минстрою направить в адрес Министерства запрос о необходимости выделения дополнительного финансирования в объёме 77 миллионов рублей на выполнение указанных мероприятий. Обществом выполнены непредусмотренные контрактами дополнительные работы на общую сумму 77 102 958 рублей 20 копеек и направлены учреждению акты приёмки выполненных работ по форме КС-2, справка о стоимости выполненных работ по форме КС-3, исполнительная документация на общую сумму 77 102 958 рублей 20 копеек. Указанные документы получены учреждением, подписанные экземпляры актов и справки о стоимости выполненных работ и затрат в адрес общества не возвращены, мотивированный отказ от подписания актов не поступил. Направленная претензия об оплате выполненных дополнительных работ оставлена учреждением без исполнения, что послужило основанием для обращения общества в арбитражный суд. Удовлетворяя иск, суды первой и апелляционной инстанций, оценив представленные в материалы дела доказательства, руководствуясь статьями 527 , 1102 Гражданского кодекса Российской Федерации, статей 1,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взыскания с ответчика заявленной суммы неосновательного обогащения. Судебные инстанции исходили из доказанности истцом обстоятельств чрезвычайности сложившейся ситуации, ограниченного временного пространства для выполнения спорных работ, отсутствии вины общества в возникновении необходимости их выполнения, согласования и требования выполнения спорных работ со стороны учреждения, направленности действий на защиту охраняемых законом публичных интересов, отсутствии претензий со стороны учреждения относительно объёма и качества выполненных работ. Суды указали, что при сложившихся между сторонами фактических отношениях в отсутствие заключенного государственного контракта, неоплата учреждением стоимости фактически выполненных обществом работ привела к образованию на его стороне неосновательного обогащения за счёт общества, осуществившего выполнение работ и не получившего встречное представление со стороны учреждения. Суд округа поддержал выводы судов первой и апелляционной инстанций. Данные выводы согласуются с правовой позицией Верховного Суда Российской Федерации, изложенной в определении от 21.10.2015 по делу № 308-ЭС14-2538, а также разъяснениями, изложенными в пункте 22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 и в пункте 4 раздела II Обзора судебной практики Верховного Суда Российской Федерации № 3 (2015), утверждённого Президиумом Верховного Суда Российской Федерации 25.11.2015. Доводы жалоб, в том числе о принятых обществом рисках при выполнении предусмотренных контрактами работ, являлись предметом рассмотрения судов и им дана надлежащая правовая оценка. Приведенные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спора и направлены на их переоценку,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управления финансами Самарской области и государственному казенному учреждению Самарской области «Управление капитального строительства»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"Волгатрансстрой-9" (подробнее) Ответчики: Государственное казенное учреждение Самарской области "Управление капитального строительства" (подробнее) Судьи дела: Антонова М.К.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