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30.07.2019, оставленным без изменения постановлением Пятнадцатого арбитражного апелляционного суда от 04.10.2019, с Краснодарского края в лице департамента за счет средств казны Краснодарского края в пользу общества взыскано 7 404 388,52 рублей задолженности, в иске к учреждению отказано. Постановлением Арбитражного суда Северо-Кавказского округа от 05.02.2020 указанные судебные акты оставлены без изменения. В кассационной жалобе, поступившей в Верховный Суд Российской Федерации, департамент просит отменить названные судебные акты, считая их принятыми с существенным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с учетом специфики не терпящих отлагательства работ,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заявленные требования, признав, что общество как подрядчик работы по корректировке проектной документации выполнило, и результат указанных работ передало заказчику, стоимость работ ответчиком не оспорена. В отсутствие доказательств того, что истец приобрел незаконные имущественные выгоды, оплатой стоимости услуг нарушен принцип целевого и эффективного использования бюджетных средств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"Роспроект" (подробнее) Ответчики: ГКУ "Главное управление строительства Краснодарского края" (подробнее) Департамент строительства Краснодарского края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