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23.08.2019, оставленным без изменения постановлением Двадцатого арбитражного апелляционного суда от 11.11.2019, в удовлетворении заявленных требований отказано. Постановлением Арбитражного суда Центрального округа от 13.02.2020 указанные судебные акты оставлены без изменения. Общество обратилось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антимонопольного органа в действиях ООО «Медицина XXI век» и общества установлен факт нарушения требований пункта 2 части 1 статьи 11 Федерального закона от 26.07.2006 № 135-ФЗ «О защите конкуренции», выразившийся в заключении устного соглашения, направленного на поддержание цен на торгах. Указанные обстоятельства послужили основанием для составления протокола и вынесения антимонопольным органом оспариваемого постановления о привлечении общества к ответственности по части 1 статьи 14.32 Кодекса Российской Федерации об административных правонарушениях (в редакции, действовавшей в момент спорных правоотношений). Оценив представленные доказательства, суды пришли к выводу о наличии в действиях общества состава правонарушения, ответственность за совершение которого предусмотрена частью 1 статьи 14.32 Кодекса Российской Федерации об административных правонарушениях (в редакции, действовавшей в момент спорных правоотношений). При этом суды учли установленные в рамках дела № А23-9044/2017 Арбитражного суда Калужской области обстоятельства, свидетельствующие, что реализация соглашения указанными лицами выразилась в поддержании цен на торгах путем отказа от конкурентной борьбы в представлении ценовых предложений в процессе определения поставщика, что недопустимо в силу положений закона о защите конкуренции. То обстоятельство, что Законом № 74-ФЗ внесены изменения в статью 14.32 Кодекса Российской Федерации об административных правонарушениях, устанавливающие дифференциацию административной ответственности за заключение и участие в различных видах антиконкурентных соглашений, само по себе не означает, что наказание для общества, совершившего правонарушение в конкретной сфере общественных отношений, связанной с проведением торгов, изменилась. Суды признали, что назначенный штраф соответствует характеру и последствиям совершенного правонарушения, степени вины привлекаемого к административной ответственности юридического лица, что отвечает принципами законности, справедливости, неотвратимости и целесообразности юридической ответственности.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Указанные доводы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НПВЛ Лиана (подробнее) Ответчики: Управление Федеральной антимонопольной службы по Калужской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