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«Сбербанк России» (далее – банк) обратилось в суд с заявлением о процессуальном правопреемстве и замене себя на Григоряна Виталия Леонидовича в размере 44 830 811 рублей 98 копеек основного долга и неустойки. Определением Арбитражного суда Краснодарского края от 04.04.2018, оставленным без изменения постановлениями Пятнадцатого арбитражного апелляционного суда от 07.10.2019 и Арбитражного суда Северо-Кавказского округа от 16.01.2020,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48 Арбитражного процессуального кодекса Российской Федерации, статьями 382, 384 Гражданского кодекса Российской Федерации, исходили из наличия оснований для осуществления замены банка как кредитора по настоящему обособленному спору на лицо, фактически оплатившее право требования денежного обязательства к должнику при отсутствии доказательств злоупотребления правом, противоправной цели процессуальной замены и намерений причинить вред кредиторам.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Шунину Геннадию Витальевичу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