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Пермского края от 25.07.2019, постановление Семнадцатого арбитражного апелляционного суда от 24.11.2019 и постановление Арбитражного суда Уральского округа от 27.02.2020 по делу № А50-20115/2016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