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решение Арбитражного суда города Москвы от 26.08.2019, постановление Девятого арбитражного апелляционного суда от 29.10.2019 и постановление Арбитражного суда Московского округа от 21.02.2020 по делу № А40-54016/2019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