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Воробьёв Владимир Владимирович (участник долевого строительства) обратился в суд с заявлением о включении в реестр требований кредиторов должника требования в размере 8 576 051 рубля 45 копеек, как обеспеченного залогом имущества должника, часть из которого было выделено в отдельное производство и рассматривалось в настоящем обособленном споре. Определением Арбитражного суда Тверской области от 21.08.2019, оставленным без изменения постановлениями Четырнадцатого арбитражного апелляционного суда от 30.10.2019 и Арбитражного суда Северо-Западного округа от 12.02.2020,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доказательств, результатах судебный технической и почерковедческой экспертиз в соответствии с правилами главы 7 Арбитражного процессуального кодекса Российской Федерации, руководствуясь статьями 2,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реальности возникших между сторонами отношений, доказанности внесения участником строительства денежных средств в кассу должника, наличия и размера задолженности и начисленных на неё процентов, в связи с чем признали требование обоснованным.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Крючковой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