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«Негосударственный пенсионный фонд «Мечел- Фонд» в лице ликвидатора – государственной корпорации «Агентство по страхованию вкладов» обратилось в Арбитражный суд Тульской области с иском о взыскании с общества с ограниченной ответственностью «ПартнерПортфельИнвест» 362 539 109 рублей 63 копеек задолженности по договору доверительного управления средствами пенсионных накоплений и 8 335 916 рублей 38 копеек процентов.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«Специализированная депозитарная компания «Гарант». Решением Арбитражного суда Тульской области от 22.05.2019 в удовлетворении иска отказано. Постановлением Двадцатого арбитражного апелляционного суда от 03.09.2019 решение суда первой инстанции оставлено без изменения. 2 Арбитражный суд Центрального округа постановлением от 21.01.2020 указанные судебные акты отменил и направил дело на новое рассмотрение в Арбитражный суд Тульской области. Общество с ограниченной ответственностью «ПартнерПортфельИнвест»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«ПартнерПортфельИнвест»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