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22.08.2019 заявленные требования удовлетворены. Постановлением Четырнадцатого арбитражного апелляционного суда от 10.10.2019 решение суда первой инстанции отменено в части признания недействительным решения в части доначисления 1 824 735 рублей налога на добавленную стоимость, 512 800 рублей пеней, 45 618 рублей штрафа по эпизоду взаимоотношений с ООО «Эстрин», 7 210 485 налога на добавленную стоимость, 2 026 658 рублей пеней, 126 160 рублей штрафа по эпизоду взаимоотношений с ООО «ПТФ Эксклюзив Метиз», 276 550 рублей налога на прибыль организаций, 64 162 рублей пеней, 6 914 рублей штрафа по эпизоду взаимоотношений с ООО «ПТФ Эксклюзив Метиз», в указанной части в удовлетворении заявленных требований отказано, в остальной части решение суда первой инстанции оставлено без изменения. Постановлением Арбитражного суда Северо-Западного округа от 17.01.2020 постановление суда апелляционной инстанции оставлено без изменения. В кассационной жалобе, поступившей в Верховный Суд Российской Федерации, общество просит отменить постановления судов апелляционной и кассационной инстанций,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Отменяя решение суда первой инстанции и признавая обоснованными выводы налогового органа в обжалуемой части, суд апелляционной инстанции руководствовался положениями статей 169 , 171 , 172 , 252 Налогового кодекса Российской Федерации,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исходил из установленных обстоятельств, свидетельствующих о том, что в представленных первичных документах содержатся недостоверные сведения, реальные хозяйственные операции отсутствуют. Суд округа согласился с выводами суда апелляционной инстанции.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"Бушевецкий завод" (подробнее) Ответчики: Межрайонная инспекция Федеральной налоговой службы №3 по Тверской области (подробнее) Иные лица: Управление ФНС по Тверской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