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03.06.2019, оставленным без изменения постановлением Семнадцатого арбитражного апелляционного суда от 23.08.2019, в удовлетворении заявленного требования отказано. Постановлением Арбитражного суда Уральского округа от 19.02.2020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93 , 100 , 101 Налогового кодекса Российской Федерации, 198, 200, 201 Арбитражного процессуального кодекса Российской Федерации, суды пришли к выводу об отсутствии совокупности условий для признания недействительным оспариваемого решения о продлении срока рассмотрения материалов налоговой проверки, признав, что продление срока рассмотрения материалов проверки связано исключительно с обеспечением проверяемому лицу возможности ознакомиться со всеми материалами проверки, и отсутствием существенных нарушений процедуры проведения проверки. Доводы кассационной жалобы о нарушении прав и законных интересов общества были предметом исследования судов и получили исчерпывающую правовую оценку, в том числе применительно к правовой позиции, изложенной в пункте 31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"Глобалгазинвест" (подробнее) Ответчики: Инспекция Федеральной налоговой службы по Индустриальному району г. Перми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