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04.09.2019, оставленным без изменения постановлением Третьего арбитражного апелляционного суда от 21.11.2019, в удовлетворении исковых требований отказано. Постановлением Арбитражного суда Восточно-Сибирского округа от 05.02.2020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удовлетворении заявленных требований, установив ненадлежащее исполнение обществом обязательств. При этом суды исходили из ненадлежащего выполнения обществом работ по устранению течи, непроведения планово-предупредительных ремонта и осмотров оборудования согласно техническому заданию, незаполнения предусмотренных контрактом журналов, невыполнения заявок на ремонт. Оснований для иной оценки указанных обстоятельств исходя из доводов жалобы и полномочий Верховного Суда Российской Федерации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"Электра" (подробнее) Ответчики: КРАЕВОЕ ГОСУДАРСТВЕННОЕ БЮДЖЕТНОЕ УЧРЕЖДЕНИЕ КУЛЬТУРЫ "ТАЙМЫРСКИЙ КРАЕВЕДЧЕСКИЙ МУЗЕЙ"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