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(далее – конкурсный управляющий) обратился в суд с заявлением о признании недействительными сделками банковских операций по выдаче денежных средств Кольцову Д.А. из кассы банка с текущего счета, открытого в банке, в общей сумме 52 490 000 рублей (28.10.2016 в размере 30 000 000 рублей; 08.11.2016 в размере 22 490 000 рублей), а также применении последствий недействительности сделки в виде взыскания в конкурсную массу должника с Кольцова Д.А. суммы 52 490 000 рублей; восстановления обязательств банка перед Кольцовым Д.А. по счету в размере 52 490 000 рублей. Определением Арбитражного суда Московской области от 07.05.2018, оставленным без изменения постановлением Десятого арбитражного апелляционного суда от 13.07.2018, в удовлетворении заявления отказано. Постановлением Арбитражного суда Московского округа от 01.10.2018 вышеуказанные судебные акты отменены, обособленный спор направлен на новое рассмотрение в Арбитражный суд Московской области. 2 При новом рассмотрении определением Арбитражного суда Московской области от 03.07.2019, оставленным без изменения постановлениями Десятого арбитражного апелляционного суда от 30.09.2019 и Арбитражного суда Московского округа от 16.01.2020, заявление удовлетворено. В кассационной жалобе, поданной в Верховный Суд Российской Федерации, заявитель просит отменить принятые на новом рассмотрении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19, 61.3, 61.4, 189.40, 189.96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операций, совершённых за пределами обычной хозяйственной деятельности в течение месяца до назначения временной администрации банка при наличии на дату их совершения неисполненных в срок распоряжений других клиентов и преимущественного удовлетворения требований заинтересованного по отношению к должнику заявителя (председателя совета директоров банка) перед иными кредиторам, при этом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Кольцову Дмитрию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