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27 996 033, 75 чешских крон основного долга, неустойки и процентов, а также 200 000 рублей судебных расходов по оплате государственной пошлины. Определением Арбитражного суда Московской области от 23.08.2019, оставленным без изменения постановлениями Десятого арбитражного апелляционного суда от 29.10.2019 и Арбитражного суда Московского округа от 22.01.2020,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53 , 53.1 Гражданского кодекса Российской Федерации, статьями 16, 100,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наличия неисполненных должником обязательств перед обществом, возникновения на стороне последнего убытков в результате действий должника как единоличного исполнительного органа возглавляемого им юридического лица, прекратившего свою деятельность и исключенного из Единого государственного реестра юридических лиц на основании не оспоренного решения уполномоченного органа, в связи с чем пришли к правильным выводам об отсутствии оснований для включения заявленных требований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«Стройирна Литвинов»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"МОСОБЛГАЗ" (подробнее) АССОЦИАЦИЯ "МЕЖРЕГИОНАЛЬНАЯ САМОРЕГУЛИРУЕМАЯ ОРГАНИЗАЦИЯ ПРОФЕССИОНАЛЬНЫХ АРБИТРАЖНЫХ УПРАВЛЯЮЩИХ" (подробнее) Вельк П.А. в лице ф/у Первушина А.В. (подробнее) Инспекция Федеральной налоговой службы по г. НОГИНСКУ Московской области (подробнее) ООО Стройирна Литвинов (подробнее) СРО Ассоциация "Межрегиональная профессиональных арбитражных управляющих" (подробнее) Иные лица: Ассоциация "Межрегиональная СРО ПАУ" Территориальное управление по ЦФО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