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«Шатл» обратилось в Арбитражный суд Ярославской области с иском о взыскании с индивидуального предпринимателя ФИО1 653 453 рублей стоимости утраченного груза.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ФИО2 и общество с ограниченной ответственностью «Дизельэнергострой». Решением Арбитражного суда Ярославской области от 03.06.2019 иск удовлетворен. Постановлением Второго арбитражного апелляционного суда от 12.09.2019 произведена замена истца – ООО «Шатл» на правопреемника – общество с ограниченной ответственностью «Дизельэнергострой», решение суда первой инстанции оставлено без изменения. Арбитражный суд Волго-Вятского округа постановлением от 22.01.2020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принятия ответчиком груза к перевозке, доставку принятого к перевозке груза грузополучателю с недостачей, установив также, что размер убытков подтвержден вступившим в законную силу решением Арбитражного суда Ярославской области от 23.09.2018 по делу № А82-7488/2018 и отсутствуют доказательства того, что утрата части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785 , 796 Гражданского кодекса Российской Федерации, суды признали иск подлежащим удовлетворению.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"ШАТЛ" (подробнее) Ответчики: ИП Молюшкин Евгений Анатольевич (подробнее) Иные лица: ООО Дизельэнергострой (подробнее) ООО ПРОИЗВОДСТВЕННАЯ КОМПАНИЯ "ТЕХНОИМПУЛЬС"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