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30.07.2019, оставленным без изменения постановлениями Девятого арбитражного апелляционного суда от 14.10.2019 и Арбитражного суда Московского округа от 06.02.2020, в удовлетворении исковых требований отказано. В кассационной жалобе, поданной в Верховный Суд Российской Федерации, предприниматель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аукциона в электронной форме между Росстатом (заказчик) и предпринимателем (подрядчик) заключен государственный контракт от 05.12.2016 № 135-ТС-2016/ИП-1 на поставку комплекта серверного оборудования (товар) для центрального аппарата Росстата, в соответствии с техническим заданием в сроки, указанные в пункте 1.4 контракта (далее - контракт). Обращаясь в арбитражный суд с исковым заявлением, предприниматель в обоснование заявленных требований ссылается на то, что обязательства по контракту выполнены им надлежащим образом, однако ответчик от подписания унифицированной формы товарной накладной № Торг-12 и дополнительного соглашения о внесении изменений в спецификацию на поставку уклоняется. Отказывая в удовлетворении исковых требований, суды,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статей 309, 310, 432, 519, 526, 527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 том, что предприниматель не исполнил принятые на себя обязательства по спорному контракту по поставке работоспособного комплекта оборудования. Судебные инстанции исходили из того, что истец в нарушение условий контракта поставил товар с иными параметрами, что не соответствует товару указанному в Техническом задании к контракту, о чем сторонами подписан акт несоответствия поставленного товара, при этом обращение о том, что привезенное изделие является улучшенным, что допускается в соответствии с пунктом 7.4 контракта, не заявлялось. Суды установили, что дополнительное соглашение, содержащее характеристики дисков, соответствующие поставленным предпринимателем, между сторонами не заключено, тогда как в силу пункта 11.7 контракта любое уведомление или сообщение, связанное с исполнением сторонами обязательств 3 по контракту, должно быть оформлено в письменной форме, подписано направляющей стороной или уполномоченным лицом, доставлено другой стороне лично с использованием средства факсимильной связи, заказной почты или курьером. Кроме того, суды пришли к выводу об истечении срока исковой давности по заявленным требованиям с учетом положений части 4 статьи 198 Арбитражного процессуального кодекса Российской Федерации. Обстоятельства данного спора и представленные доказательства были предметом рассмотрения и оценки судов. Доводы, изложенные в кассационной жалобе, направлены на переоценку установленных фактических обстоятельств дела и представленных в материалы дела доказательств и не подтверждают существенные нарушения норм материального и (или)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Швей Игорю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