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принятым при новом рассмотрении дела решением Арбитражного суда города Москвы от 05.04.2019 в удовлетворении иска отказано. Девятый арбитражный апелляционный суд постановлением от 03.09.2019 отменил решение от 05.04.2019 и удовлетворил иск. Арбитражный суд Московского округа постановлением от 18.12.2019 постановление Девятого арбитражного апелляционного суда от 03.09.2019 оставил без изменения. В кассационной жалобе общество «ДЛ-Транс» просит об отмене судебных актов апелляционного и окружного судов, ссылаясь на выплату страхового возмещения с нарушением условий страхования.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Апелляционный суд, повторно рассмотревший дело, правомерно указал, что на ответчика как виновного в причинении вреда лица обязанность возмещения убытков возложена статьями 15 , 1064 , пунктом 3 статьи 1079 Гражданского кодекса Российской Федерации. Обстоятельств, исключающих ответственность за вред и опровергающих размер убытков, на которые ответчик вправе ссылаться в силу статей 1079 , 1083 Гражданского кодекса Российской Федерации и обозначенной им судебной практики, апелляционный суд не установил.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«ДЛ-Транс»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Истцы: ПАО Страховое "Ингосстрах" (подробнее) Ответчики: ООО "Группа Ренессанс Страхование" (подробнее) ООО "ДЛ-Транс" (подробнее) ООО ДЛ-Экспедирование (подробнее) Судьи дела: Ксенофонтова Н.А. (судья) (подробнее) Судебная практика по: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Источник повышенной опасности Судебная практика по применению нормы ст. 1079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