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«Бизнес Горизонт» обратилось в Арбитражный суд Нижегородской области с иском о взыскании с общества с ограниченной ответственностью производственная инжиниринговая компания «ЭкоТех» 8 628 455 рублей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«КМ Анкудиновка». Решением Арбитражного суда Нижегородской области от 17.06.2019 иск удовлетворен. Постановлением Первого арбитражного апелляционного суда от 30.09.2019 решение суда первой инстанции оставлено без изменения. Арбитражный суд Волго-Вятского округа постановлением от 29.01.2020 указанные судебные акты оставил без изменения. Общество с ограниченной ответственностью производственная инжиниринговая компания «ЭкоТех»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450.1 , 453 , 506 , 510 , 523 , 715 , 717 , 1102 Гражданского кодекса Российской Федерации, суды сделали вывод о наличии на стороне ответчика неосновательного обогащения, учитывая отсутствие доказательств, подтверждающих встречное исполнение по договору, односторонний отказ истца от договора и отсутствие у ответчика на момент рассмотрения спора в суде подлежавшего поставке по договору товара. Доводы жалобы,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производственная инжиниринговая компания «ЭкоТех»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"БИЗНЕС ГОРИЗОНТ" (подробнее) Ответчики: ООО ПРОИЗВОДСТВЕННАЯ ИНЖИНИРИНГОВАЯ КОМПАНИЯ "ЭКОТЕХ"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