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15.05.2019, оставленным без изменения постановлениями Тринадцатого арбитражного апелляционного суда от 17.09.2019 и Арбитражного суда Северо-Западного округа от 28.01.2020, исковые требования удовлетворены частично, с общества в пользу министерства взыскана неустойка в размере 3 442 198 рублей. В удовлетворении остальной части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суды, руководствуясь положениями статей 309 , 310 , 330 , 401 , 404 - 406 , 708 , 716 , 763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25.11.2013 № 1063 «Об утверждении Правил определения размера штрафа, начисляемого в случаях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контрактом», пришли к выводу о наличии оснований для частичного удовлетворения исковых требований. Судебные инстанции исходили из наличия вины обеих сторон в просрочке исполнения обязательства по контракту, при этом, не усмотрев оснований для применения статьи 333 Гражданского кодекса Российской Федерации и снижения суммы неустойки. Суды установили, что корректировка проектной документации в части используемого материала (свай) вызвана отсутствием конкретизации длины и маркировки свай в проектной документации, а также действиями общества, которое, являясь профессиональным участником спорных правоотношений, осуществляющим строительную деятельность на протяжении длительного времени, будучи знакомым с особенностями и спецификой подряда, не приняло во внимание отсутствие в проектной документации данного условия. Вместе с тем суды не усмотрели обстоятельств, позволяющих однозначно констатировать, что общество приняло все зависящие от него меры для надлежащего исполнения обязательств по контракту и освобождения от ответственности ввиду невиновности. Обстоятельства данного спора и представленные доказательства были предметом рассмотрения и оценки судов. Доводы, изложенные в кассационной жалобе, сводятся к повторению позиции общества об отсутствии вины в нарушении сроков выполнения работ по контракту, являлись предметом рассмотрения судов и получили надлежащую правовую оценку с учетом условий государственного контракта и положений гражданского законодательства.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 и основаны на ошибочном толковании применительно к ним положений законодательства, в связи с чем не могут служить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«АБЗ-Дорстрой»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строительства и жилищно-коммунального хозяйства Калининградской области (подробнее) Министерство строительства и ЖКХ КО (подробнее) Ответчики: ЗАО "АБЗ-Дорстрой" (подробнее) Судьи дела: Антонова М.К.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