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27.03.2020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первоначальной жалобы (11.03.2020) и основания ее возврата,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«Промсервис» Федеральной службы исполнения наказаний о восстановлении пропущенного срока удовлетворить, пропущенный срок на подачу кассационной жалобы восстановить. Судья Верховного СудаРоссийской Федерации Т.В. Завьялова Суд: Верховный Суд РФ (подробнее) Истцы: ФГУП "Промсервис" Федеральной службы исполнения наказаний (подробнее) Ответчики: Управление Федеральной антимонопольной службы по Пермскому краю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