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23.09.2019, оставленным без изменения постановлениями Девятого арбитражного апелляционного суда от 31.10.2019 и Арбитражного суда Московского округа от 21.01.2020, исковое заявление возвращено в связи с неподсудностью спора данному арбитражному суду. В кассационной жалобе общество «Управление по работе с проблемными активами» просит об отмене судебных актов, ссылаясь на лишения его возможности возмещения убытков вследствие виновных действий оценщика.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экспертиза назначена судом в рамках дела № А41-59621/2012, в котором истец участвует. В отношении экспертного заключения, имеющего статус доказательства, подлежащего оценке судом в пределах дела, по которому оно получено, права истца исчерпываются возможностью представления возражений, что правомерно учитывалось судами при возвращении самостоятельного иска об оспаривании заключения.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«Управление по работе с проблемными активами»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"УПРАВЛЕНИЕ ПО РАБОТЕ С ПРОБЛЕМНЫМИ АКТИВАМИ" (подробнее) Ответчики: ООО "Компания - ПРОФАУДИТ"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