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«СВР» обратилось в Арбитражный суд Тюменской области с иском, уточненным в порядке статьи 49 Арбитражного процессуального кодекса Российской Федерации, о взыскании с открытого акционерного общества «Тюменский расчетно-информационный центр» 464 608 рублей 87 копеек по договору на совершение действий по начислению и учету денежных средств, оплачиваемых населением за жилищно-коммунальные услуги, от 01.11.2011 № 146/11-П. К участию в деле в качестве третьего лица, не заявляющего самостоятельных требований относительно предмета спора, привлечено публичное акционерное общество «СУЭНКО» в лице «Тепло Тюмени». Решением Арбитражного суда Тюменской области от 09.07.2019 иск удовлетворен. Постановлением Восьмого арбитражного апелляционного суда от 09.10.2019 решение суда первой инстанции оставлено без изменения. Арбитражный суд Западно-Сибирского округа постановлением от 27.01.2020 указанные судебные акты отменил и направил дело на новое рассмотрение в Арбитражный суд Тюменской области. Общество с ограниченной ответственностью «Управляющая компания «СВР»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суд кассационной инстанции округа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«СВР»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"Управляющая компания"СВР" (подробнее) Ответчики: ОАО "Тюменский расчетно-информационный центр"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