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06.05.2020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Ходатайство мотивировано тем, что в соответствии с принятыми уполномоченными органами мерами по предотвращению распространения новой коронавирусной инфекции (2019-nCoV) был закрыт офис организации, в связи с чем возникли сложности с подготовкой, подписанием, регистрацией и направлением кассационной жалобы в Верховный Суд Российской Федерации в установленный процессуальный срок.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«Делу время»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