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08.08.2019, оставленным без изменения постановлением Девятого арбитражного апелляционного суда от 21.10.2019 и постановлением Арбитражного суда Московского округа от 10.02.2020,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период с 2005 по 2014 годы предприниматель являлся единственным учредителем и генеральным директором общества. Между предпринимателем и ФИО2 02.02.2015 заключен договор купли-продажи 100 процентов доли в уставном капитале общества. На основании решения от 07.05.2015 № 19-25/1-19 в отношении общества проведена выездная налоговая проверка по вопросам правильности исчисления и своевременности уплаты (удержания, перечисления) всех налогов и сборов за период с 01.01.2012 по 31.12.2014, по результатам вынесено решение о привлечении к ответственности за совершение правонарушения, которым доначислены налог на добавленную стоимость (далее - НДС) в сумме 68 477 746 рублей, налог на прибыль в сумме 1 742 609 рублей, пени в общей сумме 15 085 795 рублей. Общество привлечено к налоговой ответственности по пункту 1 статьи 122 , пункту 1 статьи 126 Налогового кодекса Российской Федерации (далее - Налоговый кодекс) в виде штрафов на общую сумму 14 101 471 рубль. Указанное решение в вышестоящий налоговый орган не обжаловалось и вступило в законную силу. Не согласившись с вынесенным решением, предприниматель обратился в арбитражный суд, одновременно заявив ходатайство о восстановлении пропущенного срока на его обжалование. Исследовав представленные в материалы дела доказательства, суд первой инстанции, руководствуясь частью 4 статьи 198 Арбитражного процессуального кодекса Российской Федерации, пришел к выводу о пропуске предпринимателем срока на подачу заявления об оспаривании решения налогового органа и отсутствии уважительных причин для его восстановления, а также об отсутствии оснований для признания решения инспекции в обжалуемой части недействительным, с чем согласились суды апелляционной и кассационной инстанций. При этом оценивая законность ненормативного акта в оспариваемой части, суды поддержали выводы инспекции о занижении обществом налогооблагаемой базы по налогу на прибыль за 2014 год, об отсутствии у общества права на применение налоговых вычетов за проверяемые периоды и о создании с контрагентами ООО «СпецПоставка» и ООО «Вега» формального документооборота, направленного на получение из бюджета необоснованной налоговой выгоды. Доводы жалобы относительно наличия уважительных причин пропуска срока являлись предметом рассмотрения судов и им дана надлежащая правовая оценка. Изложенные в кассационной жалобе доводы не свидетельствуют о существенных нарушениях норм материального и процессуального права, повлиявших на исход дела, и сводятся, по существу, к несогласию с выводами судов по обстоятельствам дела, в связи с чем, не могут быть признаны основанием для пересмотра обжалуемых судебных актов в кассационном порядке.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ИФНС России №17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