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10.07.2019 исковое заявление оставлено без рассмотрения на основании пункта 1 части 1 статьи 148 Арбитражного процессуального кодекса Российской Федерации. Определением Арбитражного суда города Москвы от 29.08.2019, оставленным без изменения постановлением Девятого арбитражного апелляционного суда от 23.12.2019 и постановлением Арбитражного суда Московского округа от 18.02.2020, в удовлетворении заявления общества о взыскании судебных расходов отказано. В кассационной жалобе общество «СК Капитал Групп» просит об отмене судебных актов об отказе во взыскании судебных расходов как противоречащих судебному толкованию распределения их на случай оставления иска без рассмотрения.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Определенные статьей 110 Арбитражного процессуального кодекса Российской Федерации и ее толкованием Пленумом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критерии обоснованности несения и разумности размера судебных расходов устанавливаются по обстоятельствам конкретного дела. Мотивы отказа во взыскании судебных расходов основаны на обстоятельствах данного дела и не противоречат указанным норме права и ее толкованию.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 Капитал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КОМПАНИЯ ПАЛЛМИРА ЭЛЕКТРОНИКС А.Г. (подробнее) Ответчики: ООО "ПАЛМИРА ЭЛЕКТРОНИКС" (подробнее) ООО "СК КАПИТАЛ ГРУПП"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