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01.08.2019, оставленным без изменения постановлением Восемнадцатого арбитражного апелляционного суда от 09.10.2019 и постановлением Арбитражного суда Уральского округа от 06.02.2020, в удовлетворении иска отказано. В кассационной жалобе общество «ТехноХимРеагент» просит о пересмотре судебных актов, ссылаясь на игнорирование преюдиции.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Осуществление реальной передачи товара, порождающее обязанность оплаты независимо от юридической силы договора, установлено судами на основании товарных накладных, подписанных от имени общества «ТехноХимРеагент» уполномоченным лицом и скрепленных печатью. Установленные обстоятельства реального исполнения указывают на отсутствие у заявленной в иске суммы признаков, необходимых для взыскания ее в силу статьи 1102 Гражданского кодекса Российской Федерации в качестве неосновательного обогащения, либо последствия недействительности договора и не вступают в противоречие с обстоятельствами, установленными в деле о признании договора недействительным.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«ТехноХимРеагент»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"ТЕХНОХИМРЕАГЕНТ" (подробнее) Ответчики: ООО ПКФ "Восход" (подробнее) Судьи дела: Ксенофонтова Н.А. (судья) (подробнее) Судебная практика по: Неосновательное обогащение, взыскание неосновательного обогащения Судебная практика по применению нормы ст. 1102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