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27.05.2019, оставленным без изменения постановлением Восемнадцатого арбитражного апелляционного суда от 13.08.2019 и постановлением Арбитражного суда Уральского округа от 21.01.2020, иск удовлетворен частично. В кассационной жалобе завод просит об отмене судебных актов, ссылаясь на формальное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в пределах данного дела, произведено судами в соответствии с вмененной компетенцией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«Димитровградский завод химического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"АКЦИОНЕРНАЯ НЕФТЯНАЯ КОМПАНИЯ "БАШНЕФТЬ" (подробнее) Ответчики: АО "ДИМИТРОВГРАДСКИЙ ЗАВОД ХИМИЧЕСКОГО МАШИНОСТРОЕНИЯ"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