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«ЖилКомАльтернатива» (далее –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ФИО1 о взыскании 7 209 983 рублей 61 копейки убытков. Решением Арбитражного суда Московской области от 10.07.2019, оставленным без изменения постановлением Десятого арбитражного апелляционного суда от 01.10.2019 и постановлением Арбитражного суда Московского округа от 22.01.2020,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на неправомерность выплаты ответчиком денежных средств уволенным сотрудникам, на необоснованное увеличение себе размера заработной платы. Ответчик несет ответственность за общее осуществление текущей деятельности юридического лица, в том числе за ведение и предоставление уполномоченным органам необходимой документации.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заявленных требований Общество указало на то, что действиями ФИО1 в качестве генерального директора в период с января 2015 по март 2018 истцу были причинены убытки.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Любимцева В.Л. к гражданско-правовой ответственности в виде возмещения убытков. Признавая требования истца несостоятельными в части выплаты неработающим сотрудникам заработной платы, суды исходили из наличия в материалах дела трудовых договоров и табелей рабочего времени указанных лиц. Отклоняя доводы Общества о наличии убытков в связи с необоснованным увеличением генеральным директором собственной заработной платы и выплаты премии, суды исходили из отсутствия доказательств того, что эти выплаты были экономически необоснованными, причинили ущерб, негативно повлияли на финансовые показатели организации и затруднили его хозяйственную деятельность. Согласно представленным Обществом справкам 2- НДФЛ за 2015- 2016 годы ,максимальный месячный доход ФИО1 составлял 60 000-70 000руб., что не превышало установленного решением участников Общества размера должностного оклада и ежемесячной премии. Признав несостоятельными доводы Общества о наличии убытков в части необоснованного перечисления денежных средств контрагентам истца, суды исходили из наличия доказательств выполнения работ. Отклоняя ссылку истца на причинение убытков Обществу в виде штрафов, уплаченных истцом в связи с допущенными нарушениями в сфере управления жилыми домами и налоговой деятельности, суды указали, что ответственность за ведение финансовой деятельности хозяйствующего субъекта лежала на состоящем в штате этой организации главном бухгалтере ФИО2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«ЖилКомАльтернатива»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"ЖилКомАльтернатива"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