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«СтройПроектТехника» (далее – Общество) обратилось в Арбитражный суд города Москвы с иском к Ассоциации строителей саморегулируемой организации «Объединение строительных организаций «ЭкспертСтрой» (далее – Ассоциация) о признании недействительным решения Ассоциации об исключении Общества из числа членов ответчика, оформленного протоколом от 23.04.2018; обязании Ассоциации перечислить 300 000 рублей на специальный счет Ассоциации СРО «Альянс Строителей», внесенные истцом в компенсационный фонд Ассоциации. В свою очередь Ассоциацией заявлены встречные требования о взыскании членских взносов и процентов за пользование чужими денежными средствами. Определением Арбитражного суда города Москвы от 25.10.2019, оставленным без изменения постановлением Девятого арбитражного апелляционного суда от 11.12.2019 и постановлением Арбитражного суда Московского округа от 28.01.2020, встречный иск возвращен.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первоначальные и встречные требования были взаимосвязаны, в связи с чем отсутствовали правовые основания для возврата встречного иска. По мнению Ассоциации, суд первой инстанции при возврате встречного иска в нарушение процессуальных норм не разрешил вопрос относительно уплаченной государственной пошлины.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статей 132 названного Кодекса, суд правомерно возвратил встречное исковое заявления, придя к выводу, что заявленные в нем требования являются самостоятельными, в связи с чем предполагают исследование и оценку судами по первоначальному и встречному требованиям, различных обстоятельств.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строителей саморегулируемой организации «Объединение строительных организаций «ЭкспертСтрой»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"СтройПроектТехника" (подробнее) Ответчики: АССОЦИАЦИЯ СТРОИТЕЛЕЙ САМОРЕГУЛИРУЕМАЯ ОРГАНИЗАЦИЯ "ОБЪЕДИНЕНИЕ СТРОИТЕЛЬНЫХ ОРГАНИЗАЦИЙ "ЭКСПЕРТСТРОЙ"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