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 Полина Александровна обратилась в Арбитражный суд города Москвы с исковым заявлением к Шертману Юрию Владимировичу об исключении ответчика из состава участников общества с ограниченной ответственностью «Енисей» (далее – Общество). К участию в деле в качестве третьих лиц, не заявляющих самостоятельных требований относительно предмета спора, привлечены Завьялов Владимир Алексеевич, Савкин Сергей Александрович, Общество и общество с ограниченной ответственностью «Сосна». В порядке статьи 132 Арбитражного процессуального кодекса Российской Федерации (далее – АПК РФ) к производству суда принято встречное исковое заявление Шертмана Ю.В. об исключении Те П.А. из состава участников Общества. Решением Арбитражного суда города Москвы от 28.06.2019, оставленным без изменения постановлением Девятого арбитражного апелляционного суда от 11.10.2019 и постановлением Арбитражного суда Московского округа от 04.02.2020,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2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у Те П.А. отсутствует право на иск, поскольку она является номинальным участником Общество, что установлено в рамках расследования уголовного дела.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Шертман Ю.В. и Те П.А., которым принадлежит по 50% уставного капитала юридического лица. В обоснование первоначального иска Те П.А. указала, что Шертман Ю.В. в условиях длительного корпоративного конфликта совершил действия, заведомо направленные на причинение вреда Обществу, противоречащие его интересам. Шертман Ю.В., заявляя встречные требования, ссылался на неправомерные действия Те П.А., направленные на причинение вреда Обществу и злоупотребление правом на обращения в государственные органы. Исследовав и оценив по правилам статьи 71 АПК РФ представленные доказательства, руководствуясь статьей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в информационном письме Президиума Высшего Арбитражного суда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удовлетворили первоначальный иск, отказали в удовлетворении встречных требований, придя к выводу, что Шертман Ю.В. в условиях длительного корпоративного конфликта неоднократно совершил действия, направленные на лишение Те П.А. возможности участвовать в управлении Обществом, а также причинение вреда юридическому лицу, что установлено вступившими в законную силу судебными актами. 3 Доводы, приведенные заявителем, не опровергают выводов судов, направлены на переоценку установленных фактических обстоятельств и выражают несогласие с произведенной оценкой доказательств.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Шертмана Юрия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