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10.07.2019, оставленным без изменения постановлением Первого арбитражного апелляционного суда от 04.10.2019 и постановлением Арбитражного суда Волго-Вятского округа от 20.02.2020, заявленные требования удовлетворены.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проведен электронный аукцион на право заключения контракта на оказание услуг по вневедомственной охране с использованием кнопок экстренного вызова для нужд учреждения. Заявка общества признана аукционной комиссией заказчика не соответствующей пункту 1 части 6 статьи 69 Федерального закона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поскольку разрешенный вид услуги, указанный в пункте 7 приложения к лицензии на осуществление частной и охранной деятельности от 07.12.2012 № 0102 ЧО № 012355, выданной участнику Управлением внутренних дел России по Владимирской области, не соответствует требованию, установленному в подпункте 2 пункта 46 информационной карты электронного аукциона: «охрана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3 статьи 11 Закона Российской Федерации «О частной детективной и охранной деятельности в Российской Федерации». По результатам рассмотрения вторых частей заявок победителем аукциона признано предприятие, с которым учреждением заключен государственный контракт. Полагая результаты электронного аукциона недействительными, общество обратилось с заявлением в арбитражный суд. Оценив представленные в материалы дела доказательства, суды, руководствуясь положениями статей 8, 24, 31, 59, 64, 69 Закона о контрактной системе, статьи 449 Гражданского кодекса Российской Федерации, статей 3 , 11.2 Закона Российской Федерации от 11.03.1992 № 2487-1 «О частной и охранной деятельности в Российской Федерации» (далее – Закон № 2487-1), Положением о лицензировании частной охранной деятельности, утвержденным постановлением Правительства Российской Федерации от 23.06.2011 № 498 (далее - Положение № 498), учитывая условия аукционной документации и пункта 46 информационной карты электронного аукциона, пришли к выводу о наличии оснований для признания результатов электронного аукциона и заключенного государственного контракта недействительными. В ходе рассмотрения спора судебные инстанции установили, что представленная обществом в составе второй части заявки лицензия выдана в соответствии с Положением № 498 и предоставляет право оказывать охранные услуги, предусмотренные пунктами 1-7 части 3 статьи 3 Закона № 2487-1. При таких обстоятельствах изложение пункта 7 части 3 статьи 3 Закона № 2487-1 с 31.12.2014 в иной редакции не может служить основанием для ограничения деятельности общества, которое имеет право оказывать охранные услуги. Кроме того, общество сформулировало лучшее предложение о цене контракта. С учетом изложенного, при проведении торгов и отклонении заявки общества от участия в аукционе комиссией заказчика допущены существенные нарушения, приведшие к созданию неравных условий, ограничению и устранению конкуренции, что противоречит основополагающим принципам контрактной системы в сфере закупок. Доводы, изложенные в кассационной жалобе, сводятся к повторению позиции департамента по спору, были предметом рассмотрения судов и получили надлежащую правовую оценку с учетом установленных обстоятельств дела. Приведенные доводы не подтверждают существенного нарушения норм материального и процессуального права, повлиявших на исход дела, по сути, выражают несогласие с выводами судов ввиду иного применения положений законодательства к фактическим обстоятельствам дела,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имущественных и земельных отношений администрации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ЧОО "РИФ" (подробнее) Ответчики: Государственное бюджетное учреждение здравоохранения Владимирской области "Областной наркологический диспансер" (подробнее) Департамент имущественных и земельных отношений Администрации Владимирской области (подробнее) ДИЗО Владимирской области (подробнее) ООО ЧАСТНОЕ ОХРАННОЕ ПРЕДПРИЯТИЕ "ФОРПОСТ"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