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Удмуртской Республики от 19.06.2019, оставленным без изменения постановлением Семнадцатого арбитражного апелляционного суда от 30.09.2019 и постановлением Арбитражного суда Уральского округа от 30.01.2020, в удовлетворении заявленного требования отказано. В кассационных жалобах, поданных в Верховный Суд Российской Федерации, ООО «Русская нива» и ООО «Комос Групп», ссылаясь на 2 существенное нарушение судами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доначисления по результатам выездной налоговой проверки 2 704 484 рублей налога на добавленную стоимость, начисления соответствующих сумм пеней и штрафа послужил вывод налогового органа об отсутствии у общества права на применение налоговых вычетов в связи с истечением трехлетнего срока и непредставлением документов, указывающих на начисление и уплату налога с авансов, полученных от ООО «Комос Групп» (заготовитель) по договору контрактации. Оценив представленные в материалы дела доказательства, суды установили взаимозависимость участников сделки для целей налогообложения, а также невозможность проверки действительных обязательств между сторонами, факта предварительной оплаты в счет предстоящих поставок товаров, исчисления и уплаты НДС с авансов в бюджет, в связи с чем указали, что отгрузка зерна не связана с исполнением договора контрактации и не подтверждает учет авансовых платежей в счет отгрузки зерна спустя девять лет с момента прекращения договора. При этом предельный срок для применения налогового вычета с авансовых платежей истек 18.12.2010. Суды, учитывая установленные обстоятельства, руководствуясь положениями статей 154, 162.1, 171,172, 173 Налогового кодекса Российской Федерации, разъяснениями, изложенными в пункте 27 постановления Пленума Высшего Арбитражного Суда Российской Федерации от 30.05.2014 № 33 «О некоторых вопросах, возникающих у арбитражных судов при рассмотрении дел, связанных с взиманием налога на добавленную стоимость», пришли к выводу о недоказанности обществом права на применение налоговых вычетов. Доводы, изложенные в кассационных жалобах, являлись предметом рассмотрения судов и с учетом установленных обстоятельств дела не подтверждают существенных нарушений норм материального и процессуального права, повлиявших на исход дела. По существу доводы жалоб направлены на переоценку представленных в материалы дела доказательств и установление иных фактических обстоятельств, что в силу статьи 291.6 Арбитражного процессуального кодекса 3 Российской Федерации не может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«Русская нива» и обществу с ограниченной ответственностью «Комос Групп»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