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30.07.2019, оставленным без изменения постановлением Пятнадцатого арбитражного апелляционного суда от 16.10.2019 и постановлением Северо-Кавказского округа от 07.02.2020, в удовлетворении заявленного требования отказано. В кассационной жалобе, поданной в Верховный Суд Российской Федерации, администрация,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управлением в рамках государственного земельного надзора проведена проверка соблюдения земельного законодательства администрацией, результаты которой зафиксированы в акте от 01.03.2019. В связи с выявленными нарушениями в адрес администрации вынесено предписание об их устранении. Не согласившись с предписанием управления, общество обратилось в арбитражный суд. Оценив представленные в материалы дела доказательства, суды, руководствуясь положениями статей 11 , 27 , 39.6 , 39.8 , 71 , 72 Земельного кодекса Российской Федерации, статьи 6 Водного кодекса Российской Федерации, пришли к выводу о том, что предписание управления соответствует положениям законодательства и не нарушает прав и законных интересов заявителя, с чем согласился суд округа. Судебные инстанции установили, что в нарушение норм земельного и водного законодательства в договоре от 21.08.2017 № 37255 отсутствуют указания на условие обеспечения свободного доступа граждан к водному объекту общего пользования и его береговой полосе, в договорах от 20.04.2018 № 37514, 37515, 37516 выявлено нарушение в части указания срока их действия. Кроме того, в дополнительном соглашении от 15.04.2016 № 4-1.1 к договору аренды от 31.12.2013 № 35254 и в договоре аренды от 14.08.2018 № 37626 неверно указаны цели предоставления земельных участков, противоречащие виду разрешенного использования; вид разрешенного использования, содержащийся в ЕГРН у земельного участка с кадастровым номером 61:44:0020607:20 не соответствует фактическому использованию. Вопреки доводам жалобы суды указали, что размещение офисов охватывается видом разрешенного использования «деловое управление», который не установлен для предоставленного земельного участка; администрацией не принято мер по изменению вида разрешенного использования в отношении земельного участка с кадастровым номером 61:44:0020607:20. Иные доводы, изложенные в кассационной жалобе, в том числе об отсутствии сведений о береговой линии на спорных земельных участках, также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предпринимателя о приостановлении исполнения судебных актов остается без рассмотрения.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Ростова-на-Дону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Администрация г. Ростова-на-Дону (подробнее) Ответчики: Росреестр (подробнее) Иные лица: Департамент имущественно-земельных отношений города Ростова-на-Дону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