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«Балтийский инвестиционный банк» (далее – банк) обратилось в суд с заявлением о включении в реестр требований кредиторов должника его требований как кредитора третьей очереди на сумму 691 138 197 рублей 58 копеек. Общество с ограниченной ответственностью «УСТ-офисная недвижимость» (далее – общество) также обратилось в суд с заявлением, объединённым с заявлением банка в одно производство для совместного рассмотрения, в котором просил об установлении в реестре его требований как кредитора третьей очереди на сумму 1 274 067 790 рублей 49 копеек. Определением Арбитражного суда Самарской области от 12.01.2018, оставленным без изменения постановлением Одиннадцатого арбитражного апелляционного суда от 23.03.2018, заявления удовлетворены. Постановлением Арбитражного суда Поволжского округа от 05.07.2018 вышеуказанные судебные акты отменены, дело направлено на новое рассмотрение в Арбитражный суд Самарской области. 2 При новом рассмотрении определением Арбитражного суда Самарской области от 28.02.2019, оставленным без изменения постановлениями Одиннадцатого арбитражного апелляционного суда от 28.06.2019 и Арбитражного суда Поволожского округа от 30.01.2020, заявления удовлетворены. В кассационных жалобах, поданных в Верховный Суд Российской Федерации, заявители просят отменить указанные судебные акты в части включения требований общества в реестр и направить дело в указанной части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314, 391, 809, 810, 819 Гражданского кодекса Российской Федерации,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дело банкротстве», исходили из доказанности фактического существования переведённой задолженности, в связи с чем включили требования в реестр. Выводы судов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«Балтийский инвестиционный банк» и конкурсному управляющему открытым акционерным обществом «Волгабурмаш» Карасеву Алексею Игоревичу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